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b w:val="false"/>
          <w:bCs w:val="false"/>
          <w:sz w:val="22"/>
          <w:szCs w:val="22"/>
        </w:rPr>
        <w:t xml:space="preserve">Послуги  малярні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 xml:space="preserve">(ДК 021:2015 —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en-US" w:eastAsia="zh-CN" w:bidi="ar-SA"/>
        </w:rPr>
        <w:t xml:space="preserve">45440000-3 -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zh-CN" w:bidi="ar-SA"/>
        </w:rPr>
        <w:t>Фарбування та скління)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Ідентифікатор закупівлі: </w:t>
      </w:r>
      <w:r>
        <w:rPr>
          <w:sz w:val="22"/>
          <w:szCs w:val="22"/>
          <w:lang w:val="en-US"/>
        </w:rPr>
        <w:t>UA-202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3</w:t>
      </w:r>
      <w:r>
        <w:rPr>
          <w:sz w:val="22"/>
          <w:szCs w:val="22"/>
          <w:lang w:val="en-US"/>
        </w:rPr>
        <w:t>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9</w:t>
      </w:r>
      <w:r>
        <w:rPr>
          <w:sz w:val="22"/>
          <w:szCs w:val="22"/>
          <w:lang w:val="en-US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07146</w:t>
      </w:r>
      <w:r>
        <w:rPr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</w:t>
      </w:r>
      <w:r>
        <w:rPr>
          <w:b w:val="false"/>
          <w:bCs w:val="false"/>
          <w:i/>
          <w:iCs/>
          <w:sz w:val="22"/>
          <w:szCs w:val="22"/>
          <w:lang w:val="en-US"/>
        </w:rPr>
        <w:t>1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en-US" w:eastAsia="ru-RU" w:bidi="ar-SA"/>
        </w:rPr>
        <w:t xml:space="preserve">00 </w:t>
      </w:r>
      <w:r>
        <w:rPr>
          <w:rStyle w:val="Style15"/>
          <w:rFonts w:eastAsia="Times New Roman" w:cs="Times New Roman"/>
          <w:b w:val="false"/>
          <w:bCs w:val="false"/>
          <w:i/>
          <w:iCs/>
          <w:color w:val="000000"/>
          <w:kern w:val="0"/>
          <w:sz w:val="22"/>
          <w:szCs w:val="22"/>
          <w:shd w:fill="FFFFFF" w:val="clear"/>
          <w:lang w:val="uk-UA" w:eastAsia="ru-RU" w:bidi="ar-SA"/>
        </w:rPr>
        <w:t>000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, 00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</w:t>
      </w:r>
      <w:r>
        <w:rPr>
          <w:sz w:val="22"/>
          <w:szCs w:val="22"/>
          <w:lang w:val="uk-UA"/>
        </w:rPr>
        <w:t>у</w:t>
      </w:r>
      <w:r>
        <w:rPr>
          <w:sz w:val="22"/>
          <w:szCs w:val="22"/>
        </w:rPr>
        <w:t xml:space="preserve">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4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 xml:space="preserve">Послуги малярні передбачають </w:t>
      </w:r>
      <w:r>
        <w:rPr>
          <w:rFonts w:eastAsia="Times New Roman" w:cs="Times New Roman"/>
          <w:color w:val="auto"/>
          <w:sz w:val="24"/>
          <w:szCs w:val="24"/>
          <w:lang w:val="en-US" w:eastAsia="zh-CN" w:bidi="ar-SA"/>
        </w:rPr>
        <w:t>фа</w:t>
      </w:r>
      <w:r>
        <w:rPr>
          <w:rFonts w:eastAsia="Times New Roman" w:cs="Times New Roman"/>
          <w:color w:val="auto"/>
          <w:sz w:val="24"/>
          <w:szCs w:val="24"/>
          <w:lang w:val="uk-UA" w:eastAsia="zh-CN" w:bidi="ar-SA"/>
        </w:rPr>
        <w:t>рбування металевих конструкцій та дерев’яних поверхонь елементів благоустрою, а саме:</w:t>
      </w:r>
    </w:p>
    <w:p>
      <w:pPr>
        <w:pStyle w:val="Normal"/>
        <w:jc w:val="both"/>
        <w:rPr/>
      </w:pPr>
      <w:r>
        <w:rPr/>
      </w:r>
    </w:p>
    <w:tbl>
      <w:tblPr>
        <w:tblW w:w="9975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034"/>
        <w:gridCol w:w="795"/>
        <w:gridCol w:w="1410"/>
      </w:tblGrid>
      <w:tr>
        <w:trPr>
          <w:trHeight w:val="630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0"/>
              <w:jc w:val="right"/>
              <w:rPr/>
            </w:pPr>
            <w:r>
              <w:rPr>
                <w:szCs w:val="24"/>
              </w:rPr>
              <w:t>№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szCs w:val="24"/>
              </w:rPr>
              <w:t>з/п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0"/>
              <w:jc w:val="center"/>
              <w:rPr/>
            </w:pPr>
            <w:r>
              <w:rPr>
                <w:szCs w:val="24"/>
              </w:rPr>
              <w:t xml:space="preserve">Найменування </w:t>
            </w: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робіт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0"/>
              <w:jc w:val="center"/>
              <w:rPr/>
            </w:pPr>
            <w:r>
              <w:rPr>
                <w:szCs w:val="24"/>
              </w:rPr>
              <w:t>К</w:t>
            </w:r>
            <w:r>
              <w:rPr>
                <w:szCs w:val="24"/>
                <w:lang w:val="uk-UA"/>
              </w:rPr>
              <w:t>-т</w:t>
            </w:r>
            <w:r>
              <w:rPr>
                <w:szCs w:val="24"/>
              </w:rPr>
              <w:t>ь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0"/>
              <w:jc w:val="center"/>
              <w:rPr/>
            </w:pPr>
            <w:r>
              <w:rPr>
                <w:szCs w:val="24"/>
              </w:rPr>
              <w:t>Од</w:t>
            </w:r>
            <w:r>
              <w:rPr>
                <w:szCs w:val="24"/>
                <w:lang w:val="uk-UA"/>
              </w:rPr>
              <w:t>.</w:t>
            </w:r>
            <w:r>
              <w:rPr>
                <w:szCs w:val="24"/>
              </w:rPr>
              <w:t xml:space="preserve"> виміру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огорож мостів металевими щітками до 35% площі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олійними сумішами за 2 рази раніше пофарбованих металевих огорож мостів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60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кв.м.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контейнерів від іржі і старої фарби металевими щітками до 35%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35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контейнерів площею до 5 м2 (29 шт)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116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430" w:hRule="atLeast"/>
        </w:trPr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урн від іржі і старої фарби металевими щітками до 35%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>
          <w:trHeight w:val="374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 поверхонь   урн  для сміття площею до 5 м2 (36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38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кв.м.</w:t>
            </w:r>
          </w:p>
        </w:tc>
      </w:tr>
      <w:tr>
        <w:trPr>
          <w:trHeight w:val="507" w:hRule="atLeast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Просте олійне фарбування за 2 рази раніше пофарбованих  лав в парковій зоні з розчищенням старої фарби до 35% (49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95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Просте олійне фарбування за 2 рази раніше пофарбованих  лав автобусних зупинок з розчищенням старої фарби до 35 % (5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Очищення металевих автобусних зупинок від іржі і старої фарби металевими щітками до 35 % площі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автобусних зупинок  (5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35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Знепилювання металевих поверхонь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71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7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стовпчиків обмежувальних (152 шт)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71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napToGrid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Знепилювання металевих поверхонь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34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spacing w:before="0" w:after="28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70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before="0" w:after="0"/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</w:pPr>
            <w:r>
              <w:rPr>
                <w:rFonts w:eastAsia="Andale Sans UI;Arial Unicode MS" w:cs="Times New Roman"/>
                <w:color w:val="auto"/>
                <w:kern w:val="2"/>
                <w:sz w:val="24"/>
                <w:szCs w:val="24"/>
                <w:lang w:val="uk-UA" w:eastAsia="zh-CN" w:bidi="fa-IR"/>
              </w:rPr>
              <w:t>Фарбування за 2 рази раніше пофарбованих металевих поверхонь стовпчиків тротуарних  (114 шт)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34</w:t>
            </w:r>
          </w:p>
        </w:tc>
        <w:tc>
          <w:tcPr>
            <w:tcW w:w="1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yle33"/>
              <w:widowControl w:val="false"/>
              <w:tabs>
                <w:tab w:val="clear" w:pos="709"/>
                <w:tab w:val="left" w:pos="270" w:leader="none"/>
                <w:tab w:val="center" w:pos="560" w:leader="none"/>
              </w:tabs>
              <w:spacing w:before="0" w:after="280"/>
              <w:jc w:val="center"/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</w:pPr>
            <w:r>
              <w:rPr>
                <w:rFonts w:eastAsia="Times New Roman" w:cs="Calibri"/>
                <w:color w:val="auto"/>
                <w:sz w:val="24"/>
                <w:szCs w:val="24"/>
                <w:lang w:val="uk-UA" w:eastAsia="zh-CN" w:bidi="ar-SA"/>
              </w:rPr>
              <w:t>кв.м</w:t>
            </w:r>
          </w:p>
        </w:tc>
      </w:tr>
    </w:tbl>
    <w:p>
      <w:pPr>
        <w:pStyle w:val="Normal"/>
        <w:ind w:left="0" w:right="0" w:firstLine="567"/>
        <w:jc w:val="both"/>
        <w:rPr>
          <w:rFonts w:cs="Times New Roman"/>
          <w:b/>
          <w:b/>
          <w:sz w:val="24"/>
          <w:szCs w:val="24"/>
          <w:lang w:val="uk-UA" w:eastAsia="en-US"/>
        </w:rPr>
      </w:pPr>
      <w:r>
        <w:rPr>
          <w:rFonts w:cs="Times New Roman"/>
          <w:b/>
          <w:sz w:val="24"/>
          <w:szCs w:val="24"/>
          <w:lang w:val="uk-UA" w:eastAsia="en-US"/>
        </w:rPr>
      </w:r>
    </w:p>
    <w:p>
      <w:pPr>
        <w:pStyle w:val="Normal"/>
        <w:ind w:left="0" w:right="0" w:firstLine="567"/>
        <w:jc w:val="both"/>
        <w:rPr>
          <w:rFonts w:cs="Times New Roman"/>
          <w:b w:val="false"/>
          <w:b w:val="false"/>
          <w:bCs w:val="false"/>
          <w:sz w:val="24"/>
          <w:szCs w:val="24"/>
          <w:u w:val="single"/>
          <w:lang w:val="uk-UA" w:eastAsia="en-US"/>
        </w:rPr>
      </w:pPr>
      <w:r>
        <w:rPr>
          <w:rFonts w:cs="Times New Roman"/>
          <w:b w:val="false"/>
          <w:bCs w:val="false"/>
          <w:sz w:val="24"/>
          <w:szCs w:val="24"/>
          <w:u w:val="single"/>
          <w:lang w:val="uk-UA" w:eastAsia="en-US"/>
        </w:rPr>
        <w:t>При наданні малярних послуг Виконавець повинен: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b w:val="false"/>
          <w:bCs w:val="false"/>
          <w:sz w:val="22"/>
          <w:szCs w:val="22"/>
          <w:lang w:val="uk-UA" w:eastAsia="en-US"/>
        </w:rPr>
        <w:t xml:space="preserve">-забезпечити покращення зовнішнього (естетичного) вигляду та захисту елементів благоустрою, які в ході експлуатації та взаємодії з навколишнім середовищем піддаються корозії, а також з метою </w:t>
      </w: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подовження терміну їх експлуатації;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-перед нанесенням матеріалів (фарби, олійні суміші) забезпечити попередню підготовку поверхні, в тому числі очищенню від існуючого покриття та утворень продуктів корозії;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color w:val="auto"/>
          <w:sz w:val="22"/>
          <w:szCs w:val="22"/>
          <w:lang w:val="uk-UA" w:eastAsia="en-US" w:bidi="ar-SA"/>
        </w:rPr>
        <w:t>-використовувати фарби, олійні суміші стійкі до впливу кліматичних умов;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-застосовувати заходи із захисту довкілля: 1) забезпечити унемовжливлення розсипання зібраного сміття в процесі надання послуг та його перевезення; 2) забезпечити унеможливлення забруднення грунтів паливно-мастильними матеріалами, які використовуються в процесі експлуатації машин та механізмів при наданні послуг.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2"/>
          <w:szCs w:val="22"/>
          <w:lang w:val="uk-UA" w:eastAsia="en-US" w:bidi="ar-SA"/>
        </w:rPr>
        <w:t>Транспортне забезпечення в процесі надання малярних послуг здійснюється Виконавцем.</w:t>
      </w:r>
    </w:p>
    <w:p>
      <w:pPr>
        <w:pStyle w:val="Normal"/>
        <w:ind w:left="0" w:right="0" w:firstLine="567"/>
        <w:jc w:val="both"/>
        <w:rPr/>
      </w:pPr>
      <w:r>
        <w:rPr>
          <w:rFonts w:cs="Times New Roman"/>
          <w:sz w:val="22"/>
          <w:szCs w:val="22"/>
          <w:lang w:val="uk-UA"/>
        </w:rPr>
        <w:t xml:space="preserve">В процесі виконання зазначений обсяг  послуг може уточнюватися (коригуватися) Замовником у межах вартості </w:t>
      </w:r>
      <w:r>
        <w:rPr>
          <w:rFonts w:eastAsia="Times New Roman" w:cs="Times New Roman"/>
          <w:color w:val="auto"/>
          <w:sz w:val="22"/>
          <w:szCs w:val="22"/>
          <w:lang w:val="uk-UA" w:eastAsia="zh-CN" w:bidi="ar-SA"/>
        </w:rPr>
        <w:t>укладеного договору</w:t>
      </w:r>
      <w:r>
        <w:rPr>
          <w:rFonts w:cs="Times New Roman"/>
          <w:sz w:val="22"/>
          <w:szCs w:val="22"/>
          <w:lang w:val="uk-UA"/>
        </w:rPr>
        <w:t>.</w:t>
      </w:r>
    </w:p>
    <w:p>
      <w:pPr>
        <w:pStyle w:val="Normal"/>
        <w:ind w:left="0" w:right="0" w:firstLine="567"/>
        <w:jc w:val="both"/>
        <w:rPr>
          <w:rFonts w:cs="Times New Roman"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>Виконавець несе відповідальність за своєчасне проведення комплексу послуг по об'єктах в терміни установлені договором.</w:t>
      </w:r>
    </w:p>
    <w:p>
      <w:pPr>
        <w:pStyle w:val="Normal"/>
        <w:ind w:left="0" w:right="0" w:firstLine="567"/>
        <w:jc w:val="both"/>
        <w:rPr>
          <w:rFonts w:eastAsia="Times New Roman CYR" w:cs="Times New Roman"/>
          <w:color w:val="000000"/>
          <w:sz w:val="22"/>
          <w:szCs w:val="22"/>
          <w:lang w:val="uk-UA"/>
        </w:rPr>
      </w:pPr>
      <w:r>
        <w:rPr>
          <w:rFonts w:eastAsia="Times New Roman CYR" w:cs="Times New Roman"/>
          <w:color w:val="000000"/>
          <w:sz w:val="22"/>
          <w:szCs w:val="22"/>
          <w:lang w:val="uk-UA"/>
        </w:rPr>
        <w:t>Відповідальність за якість та своєчасне надання послуг несе Виконавець послуг відповідно законодавства.</w:t>
      </w:r>
    </w:p>
    <w:p>
      <w:pPr>
        <w:pStyle w:val="12"/>
        <w:ind w:left="0" w:right="0" w:firstLine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 xml:space="preserve">Ціну пропозиції слід визначати відповідно до вимог технічного завдання щодо термінів закінчення надання робіт/послуг, технології надання робіт/послуг, з дотриманням діючих норм і правил експлуатації техніки і безпечних умов праці. </w:t>
      </w:r>
    </w:p>
    <w:p>
      <w:pPr>
        <w:pStyle w:val="12"/>
        <w:ind w:left="0" w:righ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Вартість пропозиції та всі інші ціни повинні бути чітко визначені. </w:t>
      </w:r>
    </w:p>
    <w:p>
      <w:pPr>
        <w:pStyle w:val="12"/>
        <w:spacing w:lineRule="exact" w:line="227"/>
        <w:ind w:left="0" w:right="0" w:firstLine="426"/>
        <w:jc w:val="both"/>
        <w:rPr/>
      </w:pPr>
      <w:r>
        <w:rPr>
          <w:rStyle w:val="32"/>
          <w:rFonts w:eastAsia="Times New Roman" w:cs="Times New Roman"/>
          <w:b w:val="false"/>
          <w:bCs w:val="false"/>
          <w:iCs/>
          <w:color w:val="000000"/>
          <w:kern w:val="2"/>
          <w:sz w:val="22"/>
          <w:szCs w:val="22"/>
          <w:shd w:fill="FFFFFF" w:val="clear"/>
          <w:lang w:val="uk-UA" w:eastAsia="zh-CN" w:bidi="ar-SA"/>
        </w:rPr>
        <w:tab/>
        <w:t>Пропозиція учасника, в ціну якої включені будь-які витрати, понесені ним у процесі здійснення процедури закупівлі та укладання договору про закупівлю, відхиляється замовником.</w:t>
      </w:r>
    </w:p>
    <w:p>
      <w:pPr>
        <w:pStyle w:val="13"/>
        <w:widowControl w:val="false"/>
        <w:spacing w:lineRule="auto" w:line="240"/>
        <w:ind w:left="34" w:right="113" w:firstLine="426"/>
        <w:jc w:val="both"/>
        <w:rPr/>
      </w:pPr>
      <w:r>
        <w:rPr>
          <w:rFonts w:eastAsia="Times New Roman" w:cs="Times New Roman"/>
          <w:sz w:val="22"/>
          <w:szCs w:val="22"/>
          <w:lang w:val="uk-UA"/>
        </w:rPr>
        <w:tab/>
        <w:t>Ціна тендерної пропозиції вказується з ПДВ (стосується Учасників, які є платниками ПДВ) та підтверджується відповідними розрахунками.</w:t>
      </w:r>
    </w:p>
    <w:p>
      <w:pPr>
        <w:pStyle w:val="Normal"/>
        <w:ind w:left="0" w:right="0" w:firstLine="567"/>
        <w:jc w:val="both"/>
        <w:rPr>
          <w:rFonts w:eastAsia="Times New Roman" w:cs="Times New Roman"/>
          <w:b w:val="false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  <w:t>Примітка:*</w:t>
      </w:r>
    </w:p>
    <w:p>
      <w:pPr>
        <w:pStyle w:val="Normal"/>
        <w:widowControl w:val="false"/>
        <w:spacing w:lineRule="auto" w:line="240"/>
        <w:ind w:left="0" w:right="0" w:firstLine="567"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sz w:val="21"/>
          <w:szCs w:val="21"/>
          <w:lang w:val="uk-UA" w:eastAsia="en-US" w:bidi="ar-SA"/>
        </w:rPr>
        <w:t>Під елементами благоустрою слід розуміти відбійні бруси шляхопроводів, автобусні зупинки громадського транспорту, урни для сміття, контейнери, лавки, стовпці, елементи шляхопроводу тощо.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41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sz w:val="24"/>
      <w:lang w:val="uk-UA"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1">
    <w:name w:val="WW8Num7z1"/>
    <w:qFormat/>
    <w:rPr>
      <w:rFonts w:ascii="Courier New" w:hAnsi="Courier New" w:eastAsia="Courier New"/>
      <w:sz w:val="20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1">
    <w:name w:val="WW8Num6z1"/>
    <w:qFormat/>
    <w:rPr>
      <w:rFonts w:ascii="Courier New" w:hAnsi="Courier New" w:eastAsia="Courier New"/>
      <w:sz w:val="20"/>
    </w:rPr>
  </w:style>
  <w:style w:type="character" w:styleId="WW8Num5z1">
    <w:name w:val="WW8Num5z1"/>
    <w:qFormat/>
    <w:rPr>
      <w:rFonts w:ascii="Courier New" w:hAnsi="Courier New" w:eastAsia="Courier New"/>
    </w:rPr>
  </w:style>
  <w:style w:type="character" w:styleId="WW8Num5z0">
    <w:name w:val="WW8Num5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41">
    <w:name w:val="Основной шрифт абзаца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Times New Roman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fals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ru-RU" w:eastAsia="ar-SA" w:bidi="ar-SA"/>
    </w:rPr>
  </w:style>
  <w:style w:type="paragraph" w:styleId="Style31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</w:pPr>
    <w:rPr>
      <w:lang w:val="ru-RU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4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paragraph" w:styleId="35">
    <w:name w:val="Указатель3"/>
    <w:basedOn w:val="Normal"/>
    <w:qFormat/>
    <w:pPr/>
    <w:rPr>
      <w:rFonts w:eastAsia="Mang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LibreOffice/7.0.4.2$Windows_X86_64 LibreOffice_project/dcf040e67528d9187c66b2379df5ea4407429775</Application>
  <AppVersion>15.0000</AppVersion>
  <Pages>2</Pages>
  <Words>574</Words>
  <Characters>3774</Characters>
  <CharactersWithSpaces>4287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cp:lastPrinted>2024-02-14T09:21:55Z</cp:lastPrinted>
  <dcterms:modified xsi:type="dcterms:W3CDTF">2024-04-01T16:02:36Z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